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ascii="方正小标宋简体" w:eastAsia="方正小标宋简体"/>
          <w:b/>
          <w:sz w:val="44"/>
          <w:szCs w:val="44"/>
        </w:rPr>
        <w:t xml:space="preserve">     </w:t>
      </w:r>
      <w:r>
        <w:rPr>
          <w:rFonts w:hint="eastAsia" w:ascii="方正小标宋简体" w:eastAsia="方正小标宋简体"/>
          <w:b/>
          <w:sz w:val="44"/>
          <w:szCs w:val="44"/>
        </w:rPr>
        <w:t>英吉沙县</w:t>
      </w:r>
      <w:r>
        <w:rPr>
          <w:rFonts w:ascii="方正小标宋简体" w:eastAsia="方正小标宋简体"/>
          <w:b/>
          <w:sz w:val="44"/>
          <w:szCs w:val="44"/>
        </w:rPr>
        <w:t>2018</w:t>
      </w:r>
      <w:r>
        <w:rPr>
          <w:rFonts w:hint="eastAsia" w:ascii="方正小标宋简体" w:eastAsia="方正小标宋简体"/>
          <w:b/>
          <w:sz w:val="44"/>
          <w:szCs w:val="44"/>
        </w:rPr>
        <w:t>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w:t>
      </w:r>
      <w:r>
        <w:rPr>
          <w:rFonts w:ascii="仿宋" w:hAnsi="仿宋" w:eastAsia="仿宋" w:cs="仿宋"/>
          <w:bCs/>
          <w:sz w:val="32"/>
          <w:szCs w:val="32"/>
        </w:rPr>
        <w:t>2018</w:t>
      </w:r>
      <w:r>
        <w:rPr>
          <w:rFonts w:hint="eastAsia" w:ascii="仿宋" w:hAnsi="仿宋" w:eastAsia="仿宋" w:cs="仿宋"/>
          <w:bCs/>
          <w:sz w:val="32"/>
          <w:szCs w:val="32"/>
        </w:rPr>
        <w:t>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ascii="仿宋" w:hAnsi="仿宋" w:eastAsia="仿宋" w:cs="仿宋"/>
          <w:bCs/>
          <w:sz w:val="32"/>
          <w:szCs w:val="32"/>
        </w:rPr>
        <w:t>2018</w:t>
      </w:r>
      <w:r>
        <w:rPr>
          <w:rFonts w:hint="eastAsia" w:ascii="仿宋" w:hAnsi="仿宋" w:eastAsia="仿宋" w:cs="仿宋"/>
          <w:bCs/>
          <w:sz w:val="32"/>
          <w:szCs w:val="32"/>
        </w:rPr>
        <w:t>年庭院经济及庭院改造项目的主管单位为县扶贫中心，项目日常监管单位为县庭院经济发展专项组，项目实施单位为英也尔乡，此项目年度资金总额为</w:t>
      </w:r>
      <w:r>
        <w:rPr>
          <w:rFonts w:hint="eastAsia" w:ascii="仿宋" w:hAnsi="仿宋" w:eastAsia="仿宋" w:cs="仿宋"/>
          <w:bCs/>
          <w:sz w:val="32"/>
          <w:szCs w:val="32"/>
          <w:lang w:eastAsia="zh-CN"/>
        </w:rPr>
        <w:t>55.6</w:t>
      </w:r>
      <w:r>
        <w:rPr>
          <w:rFonts w:hint="eastAsia" w:ascii="仿宋" w:hAnsi="仿宋" w:eastAsia="仿宋" w:cs="仿宋"/>
          <w:bCs/>
          <w:sz w:val="32"/>
          <w:szCs w:val="32"/>
        </w:rPr>
        <w:t>万元，其中财政拨款</w:t>
      </w:r>
      <w:r>
        <w:rPr>
          <w:rFonts w:hint="eastAsia" w:ascii="仿宋" w:hAnsi="仿宋" w:eastAsia="仿宋" w:cs="仿宋"/>
          <w:bCs/>
          <w:sz w:val="32"/>
          <w:szCs w:val="32"/>
          <w:lang w:eastAsia="zh-CN"/>
        </w:rPr>
        <w:t>55.6</w:t>
      </w:r>
      <w:r>
        <w:rPr>
          <w:rFonts w:hint="eastAsia" w:ascii="仿宋" w:hAnsi="仿宋" w:eastAsia="仿宋" w:cs="仿宋"/>
          <w:bCs/>
          <w:sz w:val="32"/>
          <w:szCs w:val="32"/>
        </w:rPr>
        <w:t>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ascii="仿宋" w:hAnsi="仿宋" w:eastAsia="仿宋" w:cs="仿宋"/>
          <w:bCs/>
          <w:sz w:val="32"/>
          <w:szCs w:val="32"/>
        </w:rPr>
        <w:t>2018</w:t>
      </w:r>
      <w:r>
        <w:rPr>
          <w:rFonts w:hint="eastAsia" w:ascii="仿宋" w:hAnsi="仿宋" w:eastAsia="仿宋" w:cs="仿宋"/>
          <w:bCs/>
          <w:sz w:val="32"/>
          <w:szCs w:val="32"/>
        </w:rPr>
        <w:t>年庭院经济及庭院改造项目专项资金</w:t>
      </w:r>
      <w:r>
        <w:rPr>
          <w:rFonts w:hint="eastAsia" w:ascii="仿宋" w:hAnsi="仿宋" w:eastAsia="仿宋" w:cs="仿宋"/>
          <w:bCs/>
          <w:sz w:val="32"/>
          <w:szCs w:val="32"/>
          <w:lang w:eastAsia="zh-CN"/>
        </w:rPr>
        <w:t>55.6</w:t>
      </w:r>
      <w:r>
        <w:rPr>
          <w:rFonts w:hint="eastAsia" w:ascii="仿宋" w:hAnsi="仿宋" w:eastAsia="仿宋" w:cs="仿宋"/>
          <w:bCs/>
          <w:sz w:val="32"/>
          <w:szCs w:val="32"/>
        </w:rPr>
        <w:t>万元，根据各村上报的庭院项目计划实施，</w:t>
      </w:r>
      <w:r>
        <w:rPr>
          <w:rFonts w:ascii="仿宋" w:hAnsi="仿宋" w:eastAsia="仿宋" w:cs="仿宋"/>
          <w:bCs/>
          <w:sz w:val="32"/>
          <w:szCs w:val="32"/>
        </w:rPr>
        <w:t>2018</w:t>
      </w:r>
      <w:r>
        <w:rPr>
          <w:rFonts w:hint="eastAsia" w:ascii="仿宋" w:hAnsi="仿宋" w:eastAsia="仿宋" w:cs="仿宋"/>
          <w:bCs/>
          <w:sz w:val="32"/>
          <w:szCs w:val="32"/>
        </w:rPr>
        <w:t>年计划实施</w:t>
      </w:r>
      <w:r>
        <w:rPr>
          <w:rFonts w:ascii="仿宋" w:hAnsi="仿宋" w:eastAsia="仿宋" w:cs="仿宋"/>
          <w:bCs/>
          <w:sz w:val="32"/>
          <w:szCs w:val="32"/>
        </w:rPr>
        <w:t>60</w:t>
      </w:r>
      <w:r>
        <w:rPr>
          <w:rFonts w:hint="eastAsia" w:ascii="仿宋" w:hAnsi="仿宋" w:eastAsia="仿宋" w:cs="仿宋"/>
          <w:bCs/>
          <w:sz w:val="32"/>
          <w:szCs w:val="32"/>
        </w:rPr>
        <w:t>户，目前已完成</w:t>
      </w:r>
      <w:r>
        <w:rPr>
          <w:rFonts w:ascii="仿宋" w:hAnsi="仿宋" w:eastAsia="仿宋" w:cs="仿宋"/>
          <w:bCs/>
          <w:sz w:val="32"/>
          <w:szCs w:val="32"/>
        </w:rPr>
        <w:t>60</w:t>
      </w:r>
      <w:r>
        <w:rPr>
          <w:rFonts w:hint="eastAsia" w:ascii="仿宋" w:hAnsi="仿宋" w:eastAsia="仿宋" w:cs="仿宋"/>
          <w:bCs/>
          <w:sz w:val="32"/>
          <w:szCs w:val="32"/>
        </w:rPr>
        <w:t>户，完成率</w:t>
      </w:r>
      <w:r>
        <w:rPr>
          <w:rFonts w:ascii="仿宋" w:hAnsi="仿宋" w:eastAsia="仿宋" w:cs="仿宋"/>
          <w:bCs/>
          <w:sz w:val="32"/>
          <w:szCs w:val="32"/>
        </w:rPr>
        <w:t>100%</w:t>
      </w:r>
      <w:r>
        <w:rPr>
          <w:rFonts w:hint="eastAsia" w:ascii="仿宋" w:hAnsi="仿宋" w:eastAsia="仿宋" w:cs="仿宋"/>
          <w:bCs/>
          <w:sz w:val="32"/>
          <w:szCs w:val="32"/>
        </w:rPr>
        <w:t>。我组严格按照专项资金的资金管理办法中所规定的项目条件和范围要求，确定资金的使用范围，并严格要求各乡镇必须做到专款专用。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w:t>
      </w:r>
      <w:r>
        <w:rPr>
          <w:rFonts w:ascii="仿宋" w:hAnsi="仿宋" w:eastAsia="仿宋" w:cs="仿宋"/>
          <w:bCs/>
          <w:sz w:val="32"/>
          <w:szCs w:val="32"/>
        </w:rPr>
        <w:t>100%</w:t>
      </w:r>
      <w:r>
        <w:rPr>
          <w:rFonts w:hint="eastAsia" w:ascii="仿宋" w:hAnsi="仿宋" w:eastAsia="仿宋" w:cs="仿宋"/>
          <w:bCs/>
          <w:sz w:val="32"/>
          <w:szCs w:val="32"/>
        </w:rPr>
        <w:t>。</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庭院项目资金已全部由财政局拨付至我乡，共计</w:t>
      </w:r>
      <w:r>
        <w:rPr>
          <w:rFonts w:hint="eastAsia" w:ascii="仿宋" w:hAnsi="仿宋" w:eastAsia="仿宋" w:cs="仿宋"/>
          <w:bCs/>
          <w:sz w:val="32"/>
          <w:szCs w:val="32"/>
          <w:lang w:eastAsia="zh-CN"/>
        </w:rPr>
        <w:t>55.6</w:t>
      </w:r>
      <w:r>
        <w:rPr>
          <w:rFonts w:hint="eastAsia" w:ascii="仿宋" w:hAnsi="仿宋" w:eastAsia="仿宋" w:cs="仿宋"/>
          <w:bCs/>
          <w:sz w:val="32"/>
          <w:szCs w:val="32"/>
        </w:rPr>
        <w:t>万元，已发放至农户</w:t>
      </w:r>
      <w:r>
        <w:rPr>
          <w:rFonts w:ascii="仿宋" w:hAnsi="仿宋" w:eastAsia="仿宋" w:cs="仿宋"/>
          <w:bCs/>
          <w:sz w:val="32"/>
          <w:szCs w:val="32"/>
        </w:rPr>
        <w:t>60</w:t>
      </w:r>
      <w:r>
        <w:rPr>
          <w:rFonts w:hint="eastAsia" w:ascii="仿宋" w:hAnsi="仿宋" w:eastAsia="仿宋" w:cs="仿宋"/>
          <w:bCs/>
          <w:sz w:val="32"/>
          <w:szCs w:val="32"/>
        </w:rPr>
        <w:t>万元，资金拨付率为</w:t>
      </w:r>
      <w:r>
        <w:rPr>
          <w:rFonts w:ascii="仿宋" w:hAnsi="仿宋" w:eastAsia="仿宋" w:cs="仿宋"/>
          <w:bCs/>
          <w:sz w:val="32"/>
          <w:szCs w:val="32"/>
        </w:rPr>
        <w:t>100%</w:t>
      </w:r>
      <w:r>
        <w:rPr>
          <w:rFonts w:hint="eastAsia" w:ascii="仿宋" w:hAnsi="仿宋" w:eastAsia="仿宋" w:cs="仿宋"/>
          <w:bCs/>
          <w:sz w:val="32"/>
          <w:szCs w:val="32"/>
        </w:rPr>
        <w:t>，项目资金拨付至农户的方式由我乡扶贫办按照各村的计划决定。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b/>
          <w:sz w:val="32"/>
          <w:szCs w:val="32"/>
        </w:rPr>
        <w:t>1</w:t>
      </w:r>
      <w:r>
        <w:rPr>
          <w:rFonts w:hint="eastAsia"/>
          <w:b/>
          <w:sz w:val="32"/>
          <w:szCs w:val="32"/>
        </w:rPr>
        <w:t>．产出指标完成情况分析。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w:t>
      </w:r>
      <w:r>
        <w:rPr>
          <w:rFonts w:ascii="仿宋" w:hAnsi="仿宋" w:eastAsia="仿宋" w:cs="仿宋"/>
          <w:b/>
          <w:sz w:val="32"/>
          <w:szCs w:val="32"/>
        </w:rPr>
        <w:t>1</w:t>
      </w:r>
      <w:r>
        <w:rPr>
          <w:rFonts w:hint="eastAsia" w:ascii="仿宋" w:hAnsi="仿宋" w:eastAsia="仿宋" w:cs="仿宋"/>
          <w:b/>
          <w:sz w:val="32"/>
          <w:szCs w:val="32"/>
        </w:rPr>
        <w:t>）项目完成质量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w:t>
      </w:r>
      <w:r>
        <w:rPr>
          <w:rFonts w:ascii="仿宋_GB2312" w:hAnsi="仿宋" w:eastAsia="仿宋_GB2312" w:cs="仿宋"/>
          <w:sz w:val="32"/>
          <w:szCs w:val="32"/>
        </w:rPr>
        <w:t>3</w:t>
      </w:r>
      <w:r>
        <w:rPr>
          <w:rFonts w:hint="eastAsia" w:ascii="仿宋_GB2312" w:hAnsi="仿宋" w:eastAsia="仿宋_GB2312" w:cs="仿宋"/>
          <w:sz w:val="32"/>
          <w:szCs w:val="32"/>
        </w:rPr>
        <w:t>个，二级指标</w:t>
      </w:r>
      <w:r>
        <w:rPr>
          <w:rFonts w:ascii="仿宋_GB2312" w:hAnsi="仿宋" w:eastAsia="仿宋_GB2312" w:cs="仿宋"/>
          <w:sz w:val="32"/>
          <w:szCs w:val="32"/>
        </w:rPr>
        <w:t>9</w:t>
      </w:r>
      <w:r>
        <w:rPr>
          <w:rFonts w:hint="eastAsia" w:ascii="仿宋_GB2312" w:hAnsi="仿宋" w:eastAsia="仿宋_GB2312" w:cs="仿宋"/>
          <w:sz w:val="32"/>
          <w:szCs w:val="32"/>
        </w:rPr>
        <w:t>个，三级指标</w:t>
      </w:r>
      <w:r>
        <w:rPr>
          <w:rFonts w:ascii="仿宋_GB2312" w:hAnsi="仿宋" w:eastAsia="仿宋_GB2312" w:cs="仿宋"/>
          <w:sz w:val="32"/>
          <w:szCs w:val="32"/>
        </w:rPr>
        <w:t>12</w:t>
      </w:r>
      <w:r>
        <w:rPr>
          <w:rFonts w:hint="eastAsia" w:ascii="仿宋_GB2312" w:hAnsi="仿宋" w:eastAsia="仿宋_GB2312" w:cs="仿宋"/>
          <w:sz w:val="32"/>
          <w:szCs w:val="32"/>
        </w:rPr>
        <w:t>个，其中已完成三级指标</w:t>
      </w:r>
      <w:r>
        <w:rPr>
          <w:rFonts w:ascii="仿宋_GB2312" w:hAnsi="仿宋" w:eastAsia="仿宋_GB2312" w:cs="仿宋"/>
          <w:sz w:val="32"/>
          <w:szCs w:val="32"/>
        </w:rPr>
        <w:t>12</w:t>
      </w:r>
      <w:r>
        <w:rPr>
          <w:rFonts w:hint="eastAsia" w:ascii="仿宋_GB2312" w:hAnsi="仿宋" w:eastAsia="仿宋_GB2312" w:cs="仿宋"/>
          <w:sz w:val="32"/>
          <w:szCs w:val="32"/>
        </w:rPr>
        <w:t>个，指标完成率为</w:t>
      </w:r>
      <w:r>
        <w:rPr>
          <w:rFonts w:ascii="仿宋_GB2312" w:hAnsi="仿宋" w:eastAsia="仿宋_GB2312" w:cs="仿宋"/>
          <w:sz w:val="32"/>
          <w:szCs w:val="32"/>
        </w:rPr>
        <w:t>100%</w:t>
      </w:r>
      <w:r>
        <w:rPr>
          <w:rFonts w:hint="eastAsia" w:ascii="仿宋_GB2312" w:hAnsi="仿宋" w:eastAsia="仿宋_GB2312" w:cs="仿宋"/>
          <w:sz w:val="32"/>
          <w:szCs w:val="32"/>
        </w:rPr>
        <w:t>。</w:t>
      </w:r>
    </w:p>
    <w:p>
      <w:pPr>
        <w:spacing w:line="570" w:lineRule="exact"/>
        <w:ind w:firstLine="784" w:firstLineChars="244"/>
        <w:jc w:val="left"/>
        <w:rPr>
          <w:rFonts w:ascii="方正仿宋_GBK" w:hAnsi="方正仿宋_GBK" w:eastAsia="仿宋_GB2312" w:cs="方正仿宋_GBK"/>
          <w:b/>
          <w:sz w:val="32"/>
          <w:szCs w:val="32"/>
        </w:rPr>
      </w:pPr>
      <w:r>
        <w:rPr>
          <w:rFonts w:ascii="仿宋_GB2312" w:hAnsi="方正仿宋_GBK" w:eastAsia="仿宋_GB2312" w:cs="方正仿宋_GBK"/>
          <w:b/>
          <w:sz w:val="32"/>
          <w:szCs w:val="32"/>
        </w:rPr>
        <w:t>1.</w:t>
      </w:r>
      <w:r>
        <w:rPr>
          <w:rFonts w:hint="eastAsia" w:ascii="仿宋_GB2312" w:hAnsi="方正仿宋_GBK" w:eastAsia="仿宋_GB2312" w:cs="方正仿宋_GBK"/>
          <w:b/>
          <w:sz w:val="32"/>
          <w:szCs w:val="32"/>
        </w:rPr>
        <w:t>产出指标完成情况分析</w:t>
      </w:r>
      <w:r>
        <w:rPr>
          <w:rFonts w:ascii="仿宋_GB2312" w:hAnsi="方正仿宋_GBK" w:eastAsia="仿宋_GB2312" w:cs="方正仿宋_GBK"/>
          <w:b/>
          <w:sz w:val="32"/>
          <w:szCs w:val="32"/>
        </w:rPr>
        <w:t>:7</w:t>
      </w:r>
      <w:r>
        <w:rPr>
          <w:rFonts w:hint="eastAsia" w:ascii="仿宋_GB2312" w:hAnsi="方正仿宋_GBK" w:eastAsia="仿宋_GB2312" w:cs="方正仿宋_GBK"/>
          <w:b/>
          <w:sz w:val="32"/>
          <w:szCs w:val="32"/>
        </w:rPr>
        <w:t>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ascii="仿宋_GB2312" w:hAnsi="方正仿宋_GBK" w:eastAsia="仿宋_GB2312" w:cs="方正仿宋_GBK"/>
          <w:b/>
          <w:sz w:val="32"/>
          <w:szCs w:val="32"/>
        </w:rPr>
        <w:t>2</w:t>
      </w:r>
      <w:r>
        <w:rPr>
          <w:rFonts w:hint="eastAsia" w:ascii="仿宋_GB2312" w:hAnsi="方正仿宋_GBK" w:eastAsia="仿宋_GB2312" w:cs="方正仿宋_GBK"/>
          <w:b/>
          <w:sz w:val="32"/>
          <w:szCs w:val="32"/>
        </w:rPr>
        <w:t>、效益指标完成情况分析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w:t>
      </w:r>
      <w:r>
        <w:rPr>
          <w:rFonts w:ascii="仿宋_GB2312" w:hAnsi="方正仿宋_GBK" w:eastAsia="仿宋_GB2312" w:cs="方正仿宋_GBK"/>
          <w:bCs/>
          <w:sz w:val="32"/>
          <w:szCs w:val="32"/>
        </w:rPr>
        <w:t>2020</w:t>
      </w:r>
      <w:r>
        <w:rPr>
          <w:rFonts w:hint="eastAsia" w:ascii="仿宋_GB2312" w:hAnsi="方正仿宋_GBK" w:eastAsia="仿宋_GB2312" w:cs="方正仿宋_GBK"/>
          <w:bCs/>
          <w:sz w:val="32"/>
          <w:szCs w:val="32"/>
        </w:rPr>
        <w:t>年发展庭院经济贫困户人均经济收入</w:t>
      </w:r>
      <w:r>
        <w:rPr>
          <w:rFonts w:ascii="仿宋_GB2312" w:hAnsi="方正仿宋_GBK" w:eastAsia="仿宋_GB2312" w:cs="方正仿宋_GBK"/>
          <w:bCs/>
          <w:sz w:val="32"/>
          <w:szCs w:val="32"/>
        </w:rPr>
        <w:t>500</w:t>
      </w:r>
      <w:r>
        <w:rPr>
          <w:rFonts w:hint="eastAsia" w:ascii="仿宋_GB2312" w:hAnsi="方正仿宋_GBK" w:eastAsia="仿宋_GB2312" w:cs="方正仿宋_GBK"/>
          <w:bCs/>
          <w:sz w:val="32"/>
          <w:szCs w:val="32"/>
        </w:rPr>
        <w:t>元。科学规划，合理布局，根据贫困户的院落实际情况，因地制宜，一户一策。全面整治农户房前屋后，合理布局庭院平面、空间，着力推进庭院改造，通过院内土地平整、硬化（不超过建筑面积不超过</w:t>
      </w:r>
      <w:r>
        <w:rPr>
          <w:rFonts w:ascii="仿宋_GB2312" w:hAnsi="方正仿宋_GBK" w:eastAsia="仿宋_GB2312" w:cs="方正仿宋_GBK"/>
          <w:bCs/>
          <w:sz w:val="32"/>
          <w:szCs w:val="32"/>
        </w:rPr>
        <w:t>60</w:t>
      </w:r>
      <w:r>
        <w:rPr>
          <w:rFonts w:hint="eastAsia" w:ascii="仿宋_GB2312" w:hAnsi="方正仿宋_GBK" w:eastAsia="仿宋_GB2312" w:cs="方正仿宋_GBK"/>
          <w:bCs/>
          <w:sz w:val="32"/>
          <w:szCs w:val="32"/>
        </w:rPr>
        <w:t>㎡，建议使用红砖）、厕所改造、污水处理、厨房改造、优化水电</w:t>
      </w:r>
      <w:r>
        <w:rPr>
          <w:rFonts w:hint="eastAsia" w:ascii="仿宋_GB2312" w:hAnsi="方正仿宋_GBK" w:eastAsia="仿宋_GB2312" w:cs="方正仿宋_GBK"/>
          <w:bCs/>
          <w:sz w:val="32"/>
          <w:szCs w:val="32"/>
          <w:lang w:val="en-US" w:eastAsia="zh-CN"/>
        </w:rPr>
        <w:t>.</w:t>
      </w:r>
      <w:bookmarkStart w:id="0" w:name="_GoBack"/>
      <w:bookmarkEnd w:id="0"/>
      <w:r>
        <w:rPr>
          <w:rFonts w:hint="eastAsia" w:ascii="仿宋_GB2312" w:hAnsi="方正仿宋_GBK" w:eastAsia="仿宋_GB2312" w:cs="方正仿宋_GBK"/>
          <w:bCs/>
          <w:sz w:val="32"/>
          <w:szCs w:val="32"/>
        </w:rPr>
        <w:t>引导改变传统生活方式，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ascii="仿宋_GB2312" w:hAnsi="方正仿宋_GBK" w:eastAsia="仿宋_GB2312" w:cs="方正仿宋_GBK"/>
          <w:b/>
          <w:sz w:val="32"/>
          <w:szCs w:val="32"/>
        </w:rPr>
        <w:t>3</w:t>
      </w:r>
      <w:r>
        <w:rPr>
          <w:rFonts w:hint="eastAsia" w:ascii="仿宋_GB2312" w:hAnsi="方正仿宋_GBK" w:eastAsia="仿宋_GB2312" w:cs="方正仿宋_GBK"/>
          <w:b/>
          <w:sz w:val="32"/>
          <w:szCs w:val="32"/>
        </w:rPr>
        <w:t>、满意度指标完成情况分析</w:t>
      </w:r>
      <w:r>
        <w:rPr>
          <w:rFonts w:hint="eastAsia" w:ascii="仿宋_GB2312" w:hAnsi="仿宋" w:eastAsia="仿宋_GB2312" w:cs="仿宋"/>
          <w:sz w:val="32"/>
          <w:szCs w:val="32"/>
        </w:rPr>
        <w:t>：满意度达到</w:t>
      </w:r>
      <w:r>
        <w:rPr>
          <w:rFonts w:ascii="仿宋_GB2312" w:hAnsi="仿宋" w:eastAsia="仿宋_GB2312" w:cs="仿宋"/>
          <w:sz w:val="32"/>
          <w:szCs w:val="32"/>
        </w:rPr>
        <w:t>90%</w:t>
      </w:r>
      <w:r>
        <w:rPr>
          <w:rFonts w:hint="eastAsia" w:ascii="仿宋_GB2312" w:hAnsi="仿宋" w:eastAsia="仿宋_GB2312" w:cs="仿宋"/>
          <w:sz w:val="32"/>
          <w:szCs w:val="32"/>
        </w:rPr>
        <w:t>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ascii="楷体_GB2312" w:hAnsi="楷体" w:eastAsia="楷体_GB2312"/>
          <w:b/>
          <w:spacing w:val="-4"/>
          <w:sz w:val="32"/>
          <w:szCs w:val="32"/>
        </w:rPr>
        <w:t>(</w:t>
      </w: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w:t>
      </w:r>
      <w:r>
        <w:rPr>
          <w:rFonts w:hint="eastAsia" w:ascii="仿宋" w:hAnsi="仿宋" w:eastAsia="仿宋" w:cs="仿宋"/>
          <w:bCs/>
          <w:sz w:val="32"/>
          <w:szCs w:val="32"/>
          <w:lang w:eastAsia="zh-CN"/>
        </w:rPr>
        <w:t>55.6</w:t>
      </w:r>
      <w:r>
        <w:rPr>
          <w:rFonts w:hint="eastAsia" w:ascii="仿宋_GB2312" w:hAnsi="仿宋_GB2312" w:eastAsia="仿宋_GB2312" w:cs="仿宋_GB2312"/>
          <w:color w:val="000000"/>
          <w:sz w:val="32"/>
          <w:szCs w:val="32"/>
        </w:rPr>
        <w:t>万元，执行率</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，得分</w:t>
      </w: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bCs/>
          <w:color w:val="000000"/>
          <w:sz w:val="32"/>
          <w:szCs w:val="32"/>
        </w:rPr>
        <w:t>产出指标全部完成，得分</w:t>
      </w:r>
      <w:r>
        <w:rPr>
          <w:rFonts w:ascii="仿宋_GB2312" w:hAnsi="仿宋_GB2312" w:eastAsia="仿宋_GB2312" w:cs="仿宋_GB2312"/>
          <w:bCs/>
          <w:color w:val="000000"/>
          <w:sz w:val="32"/>
          <w:szCs w:val="32"/>
        </w:rPr>
        <w:t>47</w:t>
      </w:r>
      <w:r>
        <w:rPr>
          <w:rFonts w:hint="eastAsia" w:ascii="仿宋_GB2312" w:hAnsi="仿宋_GB2312" w:eastAsia="仿宋_GB2312" w:cs="仿宋_GB2312"/>
          <w:bCs/>
          <w:color w:val="000000"/>
          <w:sz w:val="32"/>
          <w:szCs w:val="32"/>
        </w:rPr>
        <w:t>分；效益指标完成较好，得分</w:t>
      </w:r>
      <w:r>
        <w:rPr>
          <w:rFonts w:ascii="仿宋_GB2312" w:hAnsi="仿宋_GB2312" w:eastAsia="仿宋_GB2312" w:cs="仿宋_GB2312"/>
          <w:bCs/>
          <w:color w:val="000000"/>
          <w:sz w:val="32"/>
          <w:szCs w:val="32"/>
        </w:rPr>
        <w:t>25</w:t>
      </w:r>
      <w:r>
        <w:rPr>
          <w:rFonts w:hint="eastAsia" w:ascii="仿宋_GB2312" w:hAnsi="仿宋_GB2312" w:eastAsia="仿宋_GB2312" w:cs="仿宋_GB2312"/>
          <w:bCs/>
          <w:color w:val="000000"/>
          <w:sz w:val="32"/>
          <w:szCs w:val="32"/>
        </w:rPr>
        <w:t>分；满意度指标达到</w:t>
      </w:r>
      <w:r>
        <w:rPr>
          <w:rFonts w:ascii="仿宋_GB2312" w:hAnsi="仿宋_GB2312" w:eastAsia="仿宋_GB2312" w:cs="仿宋_GB2312"/>
          <w:bCs/>
          <w:color w:val="000000"/>
          <w:sz w:val="32"/>
          <w:szCs w:val="32"/>
        </w:rPr>
        <w:t>90%</w:t>
      </w:r>
      <w:r>
        <w:rPr>
          <w:rFonts w:hint="eastAsia" w:ascii="仿宋_GB2312" w:hAnsi="仿宋_GB2312" w:eastAsia="仿宋_GB2312" w:cs="仿宋_GB2312"/>
          <w:bCs/>
          <w:color w:val="000000"/>
          <w:sz w:val="32"/>
          <w:szCs w:val="32"/>
        </w:rPr>
        <w:t>以上，得分</w:t>
      </w:r>
      <w:r>
        <w:rPr>
          <w:rFonts w:ascii="仿宋_GB2312" w:hAnsi="仿宋_GB2312" w:eastAsia="仿宋_GB2312" w:cs="仿宋_GB2312"/>
          <w:bCs/>
          <w:color w:val="000000"/>
          <w:sz w:val="32"/>
          <w:szCs w:val="32"/>
        </w:rPr>
        <w:t>8</w:t>
      </w:r>
      <w:r>
        <w:rPr>
          <w:rFonts w:hint="eastAsia" w:ascii="仿宋_GB2312" w:hAnsi="仿宋_GB2312" w:eastAsia="仿宋_GB2312" w:cs="仿宋_GB2312"/>
          <w:bCs/>
          <w:color w:val="000000"/>
          <w:sz w:val="32"/>
          <w:szCs w:val="32"/>
        </w:rPr>
        <w:t>分；</w:t>
      </w:r>
      <w:r>
        <w:rPr>
          <w:rFonts w:hint="eastAsia" w:ascii="仿宋_GB2312" w:hAnsi="仿宋_GB2312" w:eastAsia="仿宋_GB2312" w:cs="仿宋_GB2312"/>
          <w:color w:val="000000"/>
          <w:sz w:val="32"/>
          <w:szCs w:val="32"/>
        </w:rPr>
        <w:t>本次自评总分</w:t>
      </w:r>
      <w:r>
        <w:rPr>
          <w:rFonts w:ascii="仿宋_GB2312" w:hAnsi="仿宋_GB2312" w:eastAsia="仿宋_GB2312" w:cs="仿宋_GB2312"/>
          <w:color w:val="000000"/>
          <w:sz w:val="32"/>
          <w:szCs w:val="32"/>
        </w:rPr>
        <w:t>90</w:t>
      </w:r>
      <w:r>
        <w:rPr>
          <w:rFonts w:hint="eastAsia" w:ascii="仿宋_GB2312" w:hAnsi="仿宋_GB2312" w:eastAsia="仿宋_GB2312" w:cs="仿宋_GB2312"/>
          <w:color w:val="000000"/>
          <w:sz w:val="32"/>
          <w:szCs w:val="32"/>
        </w:rPr>
        <w:t>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英也尔乡扶贫办</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ascii="仿宋_GB2312" w:hAnsi="仿宋" w:eastAsia="仿宋_GB2312"/>
          <w:bCs/>
          <w:spacing w:val="-4"/>
          <w:sz w:val="32"/>
          <w:szCs w:val="32"/>
        </w:rPr>
        <w:t>2018</w:t>
      </w:r>
      <w:r>
        <w:rPr>
          <w:rFonts w:hint="eastAsia" w:ascii="仿宋_GB2312" w:hAnsi="仿宋" w:eastAsia="仿宋_GB2312"/>
          <w:bCs/>
          <w:spacing w:val="-4"/>
          <w:sz w:val="32"/>
          <w:szCs w:val="32"/>
        </w:rPr>
        <w:t>年</w:t>
      </w:r>
      <w:r>
        <w:rPr>
          <w:rFonts w:ascii="仿宋_GB2312" w:hAnsi="仿宋" w:eastAsia="仿宋_GB2312"/>
          <w:bCs/>
          <w:spacing w:val="-4"/>
          <w:sz w:val="32"/>
          <w:szCs w:val="32"/>
        </w:rPr>
        <w:t>12</w:t>
      </w:r>
      <w:r>
        <w:rPr>
          <w:rFonts w:hint="eastAsia" w:ascii="仿宋_GB2312" w:hAnsi="仿宋" w:eastAsia="仿宋_GB2312"/>
          <w:bCs/>
          <w:spacing w:val="-4"/>
          <w:sz w:val="32"/>
          <w:szCs w:val="32"/>
        </w:rPr>
        <w:t>月</w:t>
      </w:r>
      <w:r>
        <w:rPr>
          <w:rFonts w:ascii="仿宋_GB2312" w:hAnsi="仿宋" w:eastAsia="仿宋_GB2312"/>
          <w:bCs/>
          <w:spacing w:val="-4"/>
          <w:sz w:val="32"/>
          <w:szCs w:val="32"/>
        </w:rPr>
        <w:t>28</w:t>
      </w:r>
      <w:r>
        <w:rPr>
          <w:rFonts w:hint="eastAsia" w:ascii="仿宋_GB2312" w:hAnsi="仿宋" w:eastAsia="仿宋_GB2312"/>
          <w:bCs/>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6251B58"/>
    <w:rsid w:val="00044B75"/>
    <w:rsid w:val="00117ACE"/>
    <w:rsid w:val="00190EBA"/>
    <w:rsid w:val="001D5835"/>
    <w:rsid w:val="00201B6F"/>
    <w:rsid w:val="00215E00"/>
    <w:rsid w:val="00254628"/>
    <w:rsid w:val="00524C3D"/>
    <w:rsid w:val="005368E9"/>
    <w:rsid w:val="007665C6"/>
    <w:rsid w:val="007915B1"/>
    <w:rsid w:val="008A06C5"/>
    <w:rsid w:val="00924630"/>
    <w:rsid w:val="0094396E"/>
    <w:rsid w:val="00957707"/>
    <w:rsid w:val="009D7879"/>
    <w:rsid w:val="00AA7F1D"/>
    <w:rsid w:val="00AF40E5"/>
    <w:rsid w:val="00C377A8"/>
    <w:rsid w:val="00C54ECD"/>
    <w:rsid w:val="00D1336C"/>
    <w:rsid w:val="00EC5934"/>
    <w:rsid w:val="00F70BA7"/>
    <w:rsid w:val="00FF1E89"/>
    <w:rsid w:val="03E53E39"/>
    <w:rsid w:val="06251B58"/>
    <w:rsid w:val="083F4578"/>
    <w:rsid w:val="14370EFC"/>
    <w:rsid w:val="14AB5C91"/>
    <w:rsid w:val="171645F5"/>
    <w:rsid w:val="31173266"/>
    <w:rsid w:val="354B3C7E"/>
    <w:rsid w:val="390C13BB"/>
    <w:rsid w:val="3F912C40"/>
    <w:rsid w:val="4D1A757C"/>
    <w:rsid w:val="4F2E1180"/>
    <w:rsid w:val="52706393"/>
    <w:rsid w:val="581A72E2"/>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Footer Char"/>
    <w:basedOn w:val="5"/>
    <w:link w:val="2"/>
    <w:qFormat/>
    <w:locked/>
    <w:uiPriority w:val="99"/>
    <w:rPr>
      <w:rFonts w:ascii="Calibri" w:hAnsi="Calibri" w:eastAsia="宋体" w:cs="Times New Roman"/>
      <w:kern w:val="2"/>
      <w:sz w:val="18"/>
      <w:szCs w:val="18"/>
    </w:rPr>
  </w:style>
  <w:style w:type="character" w:customStyle="1" w:styleId="8">
    <w:name w:val="Header Char"/>
    <w:basedOn w:val="5"/>
    <w:link w:val="3"/>
    <w:qFormat/>
    <w:locked/>
    <w:uiPriority w:val="99"/>
    <w:rPr>
      <w:rFonts w:ascii="Calibri" w:hAnsi="Calibri" w:eastAsia="宋体" w:cs="Times New Roman"/>
      <w:kern w:val="2"/>
      <w:sz w:val="18"/>
      <w:szCs w:val="18"/>
    </w:rPr>
  </w:style>
  <w:style w:type="paragraph" w:styleId="9">
    <w:name w:val="List Paragraph"/>
    <w:basedOn w:val="1"/>
    <w:qFormat/>
    <w:uiPriority w:val="99"/>
    <w:pPr>
      <w:ind w:firstLine="420" w:firstLineChars="200"/>
    </w:pPr>
  </w:style>
  <w:style w:type="paragraph" w:customStyle="1" w:styleId="10">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273</Words>
  <Characters>1557</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2019-09-19T10:59:10Z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